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D66888" w:rsidRPr="00B717B2" w:rsidTr="006C4500">
        <w:tc>
          <w:tcPr>
            <w:tcW w:w="3812" w:type="dxa"/>
            <w:hideMark/>
          </w:tcPr>
          <w:p w:rsidR="00D66888" w:rsidRDefault="00D66888" w:rsidP="00D66888">
            <w:pPr>
              <w:pStyle w:val="Vnbnnidung0"/>
              <w:tabs>
                <w:tab w:val="left" w:pos="4218"/>
              </w:tabs>
              <w:spacing w:after="0" w:line="259" w:lineRule="auto"/>
              <w:ind w:firstLine="0"/>
              <w:jc w:val="center"/>
              <w:rPr>
                <w:rFonts w:ascii="Arial" w:hAnsi="Arial" w:cs="Arial"/>
                <w:i w:val="0"/>
                <w:iCs w:val="0"/>
                <w:sz w:val="20"/>
                <w:szCs w:val="20"/>
              </w:rPr>
            </w:pPr>
            <w:bookmarkStart w:id="0" w:name="_GoBack"/>
            <w:r w:rsidRPr="00D66888">
              <w:rPr>
                <w:rFonts w:ascii="Arial" w:hAnsi="Arial" w:cs="Arial"/>
                <w:i w:val="0"/>
                <w:iCs w:val="0"/>
                <w:sz w:val="20"/>
                <w:szCs w:val="20"/>
              </w:rPr>
              <w:t>TỔNG CỤC THUẾ</w:t>
            </w:r>
          </w:p>
          <w:p w:rsidR="00D66888" w:rsidRDefault="00D66888" w:rsidP="00D66888">
            <w:pPr>
              <w:pStyle w:val="Vnbnnidung0"/>
              <w:tabs>
                <w:tab w:val="left" w:pos="4218"/>
              </w:tabs>
              <w:spacing w:after="0" w:line="259" w:lineRule="auto"/>
              <w:ind w:firstLine="0"/>
              <w:jc w:val="center"/>
              <w:rPr>
                <w:rFonts w:ascii="Arial" w:hAnsi="Arial" w:cs="Arial"/>
                <w:b/>
                <w:bCs/>
                <w:i w:val="0"/>
                <w:iCs w:val="0"/>
                <w:sz w:val="20"/>
                <w:szCs w:val="20"/>
              </w:rPr>
            </w:pPr>
            <w:r w:rsidRPr="00D66888">
              <w:rPr>
                <w:rFonts w:ascii="Arial" w:hAnsi="Arial" w:cs="Arial"/>
                <w:b/>
                <w:bCs/>
                <w:i w:val="0"/>
                <w:iCs w:val="0"/>
                <w:sz w:val="20"/>
                <w:szCs w:val="20"/>
              </w:rPr>
              <w:t>CỤC THUẾ TỈNH ĐẮK NÔNG</w:t>
            </w:r>
          </w:p>
          <w:p w:rsidR="00D66888" w:rsidRDefault="00D66888" w:rsidP="00D66888">
            <w:pPr>
              <w:pStyle w:val="Vnbnnidung0"/>
              <w:tabs>
                <w:tab w:val="left" w:pos="4218"/>
              </w:tabs>
              <w:spacing w:after="0" w:line="259" w:lineRule="auto"/>
              <w:ind w:firstLine="0"/>
              <w:jc w:val="center"/>
              <w:rPr>
                <w:rFonts w:ascii="Arial" w:hAnsi="Arial" w:cs="Arial"/>
                <w:i w:val="0"/>
                <w:iCs w:val="0"/>
                <w:sz w:val="20"/>
                <w:szCs w:val="20"/>
              </w:rPr>
            </w:pPr>
            <w:r>
              <w:rPr>
                <w:rFonts w:ascii="Arial" w:hAnsi="Arial" w:cs="Arial"/>
                <w:i w:val="0"/>
                <w:iCs w:val="0"/>
                <w:sz w:val="20"/>
                <w:szCs w:val="20"/>
              </w:rPr>
              <w:t>Số: 24 /CTDNO-TTHT</w:t>
            </w:r>
          </w:p>
          <w:p w:rsidR="00D66888" w:rsidRPr="00D66888" w:rsidRDefault="00D66888" w:rsidP="00D66888">
            <w:pPr>
              <w:pStyle w:val="Vnbnnidung0"/>
              <w:tabs>
                <w:tab w:val="left" w:pos="4218"/>
              </w:tabs>
              <w:spacing w:after="0" w:line="259" w:lineRule="auto"/>
              <w:ind w:firstLine="0"/>
              <w:jc w:val="center"/>
              <w:rPr>
                <w:rFonts w:ascii="Arial" w:hAnsi="Arial" w:cs="Arial"/>
                <w:sz w:val="20"/>
                <w:szCs w:val="20"/>
              </w:rPr>
            </w:pPr>
            <w:r w:rsidRPr="00D66888">
              <w:rPr>
                <w:rFonts w:ascii="Arial" w:hAnsi="Arial" w:cs="Arial"/>
                <w:i w:val="0"/>
                <w:iCs w:val="0"/>
                <w:sz w:val="20"/>
                <w:szCs w:val="20"/>
              </w:rPr>
              <w:t>V/v kê khai, hoàn thuế GTGT đối với</w:t>
            </w:r>
            <w:r>
              <w:rPr>
                <w:rFonts w:ascii="Arial" w:hAnsi="Arial" w:cs="Arial"/>
                <w:i w:val="0"/>
                <w:iCs w:val="0"/>
                <w:sz w:val="20"/>
                <w:szCs w:val="20"/>
                <w:lang w:val="en-US"/>
              </w:rPr>
              <w:t xml:space="preserve"> </w:t>
            </w:r>
            <w:r w:rsidRPr="00D66888">
              <w:rPr>
                <w:rFonts w:ascii="Arial" w:hAnsi="Arial" w:cs="Arial"/>
                <w:i w:val="0"/>
                <w:iCs w:val="0"/>
                <w:sz w:val="20"/>
                <w:szCs w:val="20"/>
              </w:rPr>
              <w:t>dự án đầu tư</w:t>
            </w:r>
          </w:p>
        </w:tc>
        <w:tc>
          <w:tcPr>
            <w:tcW w:w="4918" w:type="dxa"/>
            <w:hideMark/>
          </w:tcPr>
          <w:p w:rsidR="00D66888" w:rsidRPr="007C6099" w:rsidRDefault="00D66888" w:rsidP="006C4500">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CỘNG HOÀ XÃ HỘI CHỦ NGHĨA VIỆT NAM</w:t>
            </w:r>
          </w:p>
          <w:p w:rsidR="00D66888" w:rsidRPr="007C6099" w:rsidRDefault="00D66888" w:rsidP="006C4500">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Độc lập - Tự do - Hạnh phúc</w:t>
            </w:r>
          </w:p>
          <w:p w:rsidR="00D66888" w:rsidRPr="00D66888" w:rsidRDefault="00D66888" w:rsidP="006C4500">
            <w:pPr>
              <w:pStyle w:val="Vnbnnidung20"/>
              <w:jc w:val="right"/>
              <w:rPr>
                <w:rFonts w:ascii="Arial" w:hAnsi="Arial" w:cs="Arial"/>
                <w:i/>
                <w:sz w:val="20"/>
                <w:szCs w:val="20"/>
              </w:rPr>
            </w:pPr>
            <w:r w:rsidRPr="00D66888">
              <w:rPr>
                <w:rFonts w:ascii="Arial" w:hAnsi="Arial" w:cs="Arial"/>
                <w:i/>
                <w:sz w:val="20"/>
                <w:szCs w:val="20"/>
              </w:rPr>
              <w:t>Đắk Nông, ngày 03</w:t>
            </w:r>
            <w:r>
              <w:rPr>
                <w:rFonts w:ascii="Arial" w:hAnsi="Arial" w:cs="Arial"/>
                <w:i/>
                <w:sz w:val="20"/>
                <w:szCs w:val="20"/>
                <w:lang w:val="en-US"/>
              </w:rPr>
              <w:t xml:space="preserve"> </w:t>
            </w:r>
            <w:r w:rsidRPr="00D66888">
              <w:rPr>
                <w:rFonts w:ascii="Arial" w:hAnsi="Arial" w:cs="Arial"/>
                <w:i/>
                <w:sz w:val="20"/>
                <w:szCs w:val="20"/>
              </w:rPr>
              <w:t>tháng 01 năm 2025</w:t>
            </w:r>
          </w:p>
        </w:tc>
      </w:tr>
    </w:tbl>
    <w:p w:rsidR="00D66888" w:rsidRPr="00B717B2" w:rsidRDefault="00D66888" w:rsidP="00D66888">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D66888" w:rsidRPr="00B717B2" w:rsidTr="006C4500">
        <w:trPr>
          <w:trHeight w:val="698"/>
        </w:trPr>
        <w:tc>
          <w:tcPr>
            <w:tcW w:w="3691" w:type="dxa"/>
            <w:hideMark/>
          </w:tcPr>
          <w:p w:rsidR="00D66888" w:rsidRPr="00B717B2" w:rsidRDefault="00D66888" w:rsidP="006C4500">
            <w:pPr>
              <w:pStyle w:val="Vnbnnidung0"/>
              <w:ind w:right="440" w:firstLine="0"/>
              <w:jc w:val="right"/>
              <w:rPr>
                <w:rFonts w:ascii="Arial" w:hAnsi="Arial" w:cs="Arial"/>
                <w:i w:val="0"/>
                <w:sz w:val="20"/>
                <w:szCs w:val="20"/>
              </w:rPr>
            </w:pPr>
            <w:r w:rsidRPr="00B717B2">
              <w:rPr>
                <w:rFonts w:ascii="Arial" w:hAnsi="Arial" w:cs="Arial"/>
                <w:i w:val="0"/>
                <w:sz w:val="20"/>
                <w:szCs w:val="20"/>
              </w:rPr>
              <w:t>Kính gửi:</w:t>
            </w:r>
          </w:p>
        </w:tc>
        <w:tc>
          <w:tcPr>
            <w:tcW w:w="5715" w:type="dxa"/>
            <w:hideMark/>
          </w:tcPr>
          <w:p w:rsidR="00D66888" w:rsidRPr="00D66888" w:rsidRDefault="00D66888" w:rsidP="00D66888">
            <w:pPr>
              <w:pStyle w:val="Vnbnnidung0"/>
              <w:spacing w:after="0"/>
              <w:ind w:firstLine="0"/>
              <w:rPr>
                <w:rFonts w:ascii="Arial" w:hAnsi="Arial" w:cs="Arial"/>
                <w:sz w:val="20"/>
                <w:szCs w:val="20"/>
              </w:rPr>
            </w:pPr>
            <w:r w:rsidRPr="00D66888">
              <w:rPr>
                <w:rFonts w:ascii="Arial" w:hAnsi="Arial" w:cs="Arial"/>
                <w:i w:val="0"/>
                <w:iCs w:val="0"/>
                <w:sz w:val="20"/>
                <w:szCs w:val="20"/>
              </w:rPr>
              <w:t>Công ty cổ phần bao bì Đại Lục</w:t>
            </w:r>
          </w:p>
          <w:p w:rsidR="00D66888" w:rsidRPr="00D66888" w:rsidRDefault="00D66888" w:rsidP="00D66888">
            <w:pPr>
              <w:pStyle w:val="Vnbnnidung0"/>
              <w:spacing w:after="0"/>
              <w:ind w:firstLine="0"/>
              <w:rPr>
                <w:rFonts w:ascii="Arial" w:hAnsi="Arial" w:cs="Arial"/>
                <w:sz w:val="20"/>
                <w:szCs w:val="20"/>
              </w:rPr>
            </w:pPr>
            <w:r w:rsidRPr="00D66888">
              <w:rPr>
                <w:rFonts w:ascii="Arial" w:hAnsi="Arial" w:cs="Arial"/>
                <w:i w:val="0"/>
                <w:iCs w:val="0"/>
                <w:sz w:val="20"/>
                <w:szCs w:val="20"/>
              </w:rPr>
              <w:t>Mã số thuế: 0304381815</w:t>
            </w:r>
          </w:p>
          <w:p w:rsidR="00D66888" w:rsidRPr="00081E8B" w:rsidRDefault="00D66888" w:rsidP="00D66888">
            <w:pPr>
              <w:pStyle w:val="Vnbnnidung0"/>
              <w:ind w:firstLine="0"/>
              <w:jc w:val="both"/>
              <w:rPr>
                <w:rFonts w:ascii="Arial" w:hAnsi="Arial" w:cs="Arial"/>
                <w:i w:val="0"/>
                <w:sz w:val="20"/>
                <w:szCs w:val="20"/>
              </w:rPr>
            </w:pPr>
            <w:r w:rsidRPr="00D66888">
              <w:rPr>
                <w:rFonts w:ascii="Arial" w:hAnsi="Arial" w:cs="Arial"/>
                <w:i w:val="0"/>
                <w:iCs w:val="0"/>
                <w:sz w:val="20"/>
                <w:szCs w:val="20"/>
              </w:rPr>
              <w:t>Địa chỉ: 49/23 Lũy Bán Bích, P. Tân Thới Hòa, Q.Tân Phú, thành phố Hồ Chí Minh.</w:t>
            </w:r>
          </w:p>
        </w:tc>
      </w:tr>
    </w:tbl>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i w:val="0"/>
          <w:iCs w:val="0"/>
          <w:sz w:val="20"/>
          <w:szCs w:val="20"/>
        </w:rPr>
        <w:t xml:space="preserve">Cục Thuế tỉnh Đắk Nông nhận được Văn bản số 0312/DL-2024 ngày 16/12/2024 của Công ty cổ phần bao bì Đại Lục (gọi tắt là Công ty) về việc kê khai, hoàn thuế giá trị </w:t>
      </w:r>
      <w:r w:rsidRPr="00D66888">
        <w:rPr>
          <w:rFonts w:ascii="Arial" w:hAnsi="Arial" w:cs="Arial"/>
          <w:i w:val="0"/>
          <w:iCs w:val="0"/>
          <w:sz w:val="20"/>
          <w:szCs w:val="20"/>
        </w:rPr>
        <w:t>gia tăng đối với dự án đầu tư. Về vấn đề này, Cục Thuế có ý kiến như sau:</w:t>
      </w:r>
    </w:p>
    <w:p w:rsidR="00DD53CF" w:rsidRPr="00D66888" w:rsidRDefault="00D66888" w:rsidP="00D66888">
      <w:pPr>
        <w:pStyle w:val="Tiu10"/>
        <w:keepNext/>
        <w:keepLines/>
        <w:spacing w:after="120"/>
        <w:ind w:firstLine="284"/>
        <w:rPr>
          <w:rFonts w:ascii="Arial" w:hAnsi="Arial" w:cs="Arial"/>
          <w:sz w:val="20"/>
          <w:szCs w:val="20"/>
        </w:rPr>
      </w:pPr>
      <w:bookmarkStart w:id="1" w:name="bookmark2"/>
      <w:bookmarkStart w:id="2" w:name="bookmark0"/>
      <w:bookmarkStart w:id="3" w:name="bookmark1"/>
      <w:bookmarkStart w:id="4" w:name="bookmark3"/>
      <w:bookmarkEnd w:id="1"/>
      <w:r>
        <w:rPr>
          <w:rFonts w:ascii="Arial" w:hAnsi="Arial" w:cs="Arial"/>
          <w:sz w:val="20"/>
          <w:szCs w:val="20"/>
          <w:lang w:val="en-US"/>
        </w:rPr>
        <w:t xml:space="preserve">1. </w:t>
      </w:r>
      <w:r w:rsidR="006014BB" w:rsidRPr="00D66888">
        <w:rPr>
          <w:rFonts w:ascii="Arial" w:hAnsi="Arial" w:cs="Arial"/>
          <w:sz w:val="20"/>
          <w:szCs w:val="20"/>
        </w:rPr>
        <w:t>Về hoàn thuế GTGT đối với dự án đầu tư</w:t>
      </w:r>
      <w:bookmarkEnd w:id="2"/>
      <w:bookmarkEnd w:id="3"/>
      <w:bookmarkEnd w:id="4"/>
    </w:p>
    <w:p w:rsidR="00DD53CF" w:rsidRPr="00D66888" w:rsidRDefault="00D66888" w:rsidP="00D66888">
      <w:pPr>
        <w:pStyle w:val="Vnbnnidung0"/>
        <w:tabs>
          <w:tab w:val="left" w:pos="1242"/>
        </w:tabs>
        <w:spacing w:after="120"/>
        <w:ind w:firstLine="284"/>
        <w:rPr>
          <w:rFonts w:ascii="Arial" w:hAnsi="Arial" w:cs="Arial"/>
          <w:sz w:val="20"/>
          <w:szCs w:val="20"/>
        </w:rPr>
      </w:pPr>
      <w:bookmarkStart w:id="5" w:name="bookmark4"/>
      <w:bookmarkEnd w:id="5"/>
      <w:r>
        <w:rPr>
          <w:rFonts w:ascii="Arial" w:hAnsi="Arial" w:cs="Arial"/>
          <w:i w:val="0"/>
          <w:iCs w:val="0"/>
          <w:sz w:val="20"/>
          <w:szCs w:val="20"/>
          <w:lang w:val="en-US"/>
        </w:rPr>
        <w:t xml:space="preserve">- </w:t>
      </w:r>
      <w:r w:rsidR="006014BB" w:rsidRPr="00D66888">
        <w:rPr>
          <w:rFonts w:ascii="Arial" w:hAnsi="Arial" w:cs="Arial"/>
          <w:i w:val="0"/>
          <w:iCs w:val="0"/>
          <w:sz w:val="20"/>
          <w:szCs w:val="20"/>
        </w:rPr>
        <w:t xml:space="preserve">Tại khoản 1 Điều 13 Luật số 13/2008/QH12 ngày 03/6/2008 của Quốc hội về Luật Thuế giá trị gia tăng (đã được sửa đổi, bổ sung theo khoản 3 Điều </w:t>
      </w:r>
      <w:r w:rsidR="006014BB" w:rsidRPr="00D66888">
        <w:rPr>
          <w:rFonts w:ascii="Arial" w:hAnsi="Arial" w:cs="Arial"/>
          <w:i w:val="0"/>
          <w:iCs w:val="0"/>
          <w:sz w:val="20"/>
          <w:szCs w:val="20"/>
        </w:rPr>
        <w:t>1 Luật số 106/2016/QH13 ngày 06/4/2016) quy định về các trường hợp hoàn thuế giá trị gia tăng (GTGT):</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 xml:space="preserve">“ Trường hợp cơ sở kinh doanh đã đăng ký nộp thuế GTGT theo phương pháp khấu trừ có dự án đầu tư mới, </w:t>
      </w:r>
      <w:r w:rsidRPr="00D66888">
        <w:rPr>
          <w:rFonts w:ascii="Arial" w:hAnsi="Arial" w:cs="Arial"/>
          <w:sz w:val="20"/>
          <w:szCs w:val="20"/>
          <w:u w:val="single"/>
        </w:rPr>
        <w:t>đang trong giai đoạn đầu tư</w:t>
      </w:r>
      <w:r w:rsidRPr="00D66888">
        <w:rPr>
          <w:rFonts w:ascii="Arial" w:hAnsi="Arial" w:cs="Arial"/>
          <w:sz w:val="20"/>
          <w:szCs w:val="20"/>
        </w:rPr>
        <w:t xml:space="preserve"> có số thuế giá trị gia t</w:t>
      </w:r>
      <w:r w:rsidRPr="00D66888">
        <w:rPr>
          <w:rFonts w:ascii="Arial" w:hAnsi="Arial" w:cs="Arial"/>
          <w:sz w:val="20"/>
          <w:szCs w:val="20"/>
        </w:rPr>
        <w:t>ăng của hàng hóa, dịch vụ mua vào sử dụng cho đầu tư mà chưa được khấu trừ và có số thuế còn lại từ ba trăm triệu đồng trở lên thì được hoàn thuế giá trị gia tăng.”</w:t>
      </w:r>
    </w:p>
    <w:p w:rsidR="00DD53CF" w:rsidRPr="00D66888" w:rsidRDefault="00D66888" w:rsidP="00D66888">
      <w:pPr>
        <w:pStyle w:val="Vnbnnidung0"/>
        <w:tabs>
          <w:tab w:val="left" w:pos="1242"/>
        </w:tabs>
        <w:spacing w:after="120"/>
        <w:ind w:firstLine="284"/>
        <w:rPr>
          <w:rFonts w:ascii="Arial" w:hAnsi="Arial" w:cs="Arial"/>
          <w:sz w:val="20"/>
          <w:szCs w:val="20"/>
        </w:rPr>
      </w:pPr>
      <w:bookmarkStart w:id="6" w:name="bookmark5"/>
      <w:bookmarkEnd w:id="6"/>
      <w:r>
        <w:rPr>
          <w:rFonts w:ascii="Arial" w:hAnsi="Arial" w:cs="Arial"/>
          <w:i w:val="0"/>
          <w:iCs w:val="0"/>
          <w:sz w:val="20"/>
          <w:szCs w:val="20"/>
          <w:lang w:val="en-US"/>
        </w:rPr>
        <w:t xml:space="preserve">- </w:t>
      </w:r>
      <w:r w:rsidR="006014BB" w:rsidRPr="00D66888">
        <w:rPr>
          <w:rFonts w:ascii="Arial" w:hAnsi="Arial" w:cs="Arial"/>
          <w:i w:val="0"/>
          <w:iCs w:val="0"/>
          <w:sz w:val="20"/>
          <w:szCs w:val="20"/>
        </w:rPr>
        <w:t>Tại khoản 3, Điều 1 Thông tư số 130/2016/TT-BTC ngày 12/8/2016 của Bộ Tài chính quy định về</w:t>
      </w:r>
      <w:r w:rsidR="006014BB" w:rsidRPr="00D66888">
        <w:rPr>
          <w:rFonts w:ascii="Arial" w:hAnsi="Arial" w:cs="Arial"/>
          <w:i w:val="0"/>
          <w:iCs w:val="0"/>
          <w:sz w:val="20"/>
          <w:szCs w:val="20"/>
        </w:rPr>
        <w:t xml:space="preserve"> hoàn thuế GTGT:</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 b)</w:t>
      </w:r>
      <w:r w:rsidR="00D66888">
        <w:rPr>
          <w:rFonts w:ascii="Arial" w:hAnsi="Arial" w:cs="Arial"/>
          <w:sz w:val="20"/>
          <w:szCs w:val="20"/>
          <w:lang w:val="en-US"/>
        </w:rPr>
        <w:t xml:space="preserve"> </w:t>
      </w:r>
      <w:r w:rsidRPr="00D66888">
        <w:rPr>
          <w:rFonts w:ascii="Arial" w:hAnsi="Arial" w:cs="Arial"/>
          <w:sz w:val="20"/>
          <w:szCs w:val="20"/>
        </w:rPr>
        <w:t>Trường hợp cơ sở kinh doanh đang hoạt động thuộc đối tượng nộp thuế GTGT theo phương pháp khấu trừ có dự án đầu tư mới (trừ trường hợp hướng dẫn tại Điểm c Khoản 3 Điều này và trừ dự án đầu tư xây dựng nhà để bán hoặc cho thuê mà khôn</w:t>
      </w:r>
      <w:r w:rsidRPr="00D66888">
        <w:rPr>
          <w:rFonts w:ascii="Arial" w:hAnsi="Arial" w:cs="Arial"/>
          <w:sz w:val="20"/>
          <w:szCs w:val="20"/>
        </w:rPr>
        <w:t>g hình thành tài sản cố định) tại địa bàn tỉnh, thành phố trực thuộc Trung ương khác với tỉnh, thành phố nơi đóng trụ sở chính, đang trong giai đoạn đầu tư chưa đi vào hoạt động, chưa đăng ký kinh doanh, chưa đăng ký thuế thì cơ sở kinh doanh lập hồ sơ kha</w:t>
      </w:r>
      <w:r w:rsidRPr="00D66888">
        <w:rPr>
          <w:rFonts w:ascii="Arial" w:hAnsi="Arial" w:cs="Arial"/>
          <w:sz w:val="20"/>
          <w:szCs w:val="20"/>
        </w:rPr>
        <w:t>i thuế riêng cho dự án đầu tư đồng thời phải kết chuyển thuế GTGT đầu vào của dự án đầu tư để bù trừ với việc kê khai thuế GTGT của hoạt động sản xuất kinh doanh đang thực hiện. Số thuế GTGT được kết chuyển của dự án đầu tư tối đa bằng số thuế GTGT phải nộ</w:t>
      </w:r>
      <w:r w:rsidRPr="00D66888">
        <w:rPr>
          <w:rFonts w:ascii="Arial" w:hAnsi="Arial" w:cs="Arial"/>
          <w:sz w:val="20"/>
          <w:szCs w:val="20"/>
        </w:rPr>
        <w:t>p của hoạt động sản xuất kinh doanh trong kỳ của cơ sở kinh doanh.</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Sau khi bù trừ nếu số thuế GTGT đầu vào của dự án đầu tư mới chưa được khấu trừ hết từ 300 triệu đồng trở lên thì được hoàn thuế GTGT cho dự án đầu tư.</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Sau khi bù trừ nếu số thuế GTGT đầu v</w:t>
      </w:r>
      <w:r w:rsidRPr="00D66888">
        <w:rPr>
          <w:rFonts w:ascii="Arial" w:hAnsi="Arial" w:cs="Arial"/>
          <w:sz w:val="20"/>
          <w:szCs w:val="20"/>
        </w:rPr>
        <w:t>ào của dự án đầu tư mới chưa được khấu trừ hết nhỏ hơn 300 triệu đồng thì kết chuyển vào số thuế GTGT đầu vào của dự án đầu tư của kỳ kê khai tiếp theo.</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 xml:space="preserve">Trường hợp cơ sở kinh doanh có quyết định thành lập các Ban Quản lý dự án hoặc </w:t>
      </w:r>
      <w:r w:rsidRPr="00D66888">
        <w:rPr>
          <w:rFonts w:ascii="Arial" w:hAnsi="Arial" w:cs="Arial"/>
          <w:sz w:val="20"/>
          <w:szCs w:val="20"/>
          <w:u w:val="single"/>
        </w:rPr>
        <w:t>chi nhánh đóng tại các t</w:t>
      </w:r>
      <w:r w:rsidRPr="00D66888">
        <w:rPr>
          <w:rFonts w:ascii="Arial" w:hAnsi="Arial" w:cs="Arial"/>
          <w:sz w:val="20"/>
          <w:szCs w:val="20"/>
          <w:u w:val="single"/>
        </w:rPr>
        <w:t>ỉnh, thành phố trực thuộc trung ương khác với tỉnh, thành phố nơi đóng trụ sở chính</w:t>
      </w:r>
      <w:r w:rsidRPr="00D66888">
        <w:rPr>
          <w:rFonts w:ascii="Arial" w:hAnsi="Arial" w:cs="Arial"/>
          <w:sz w:val="20"/>
          <w:szCs w:val="20"/>
        </w:rPr>
        <w:t xml:space="preserve"> để thay mặt người nộp thuế trực tiếp quản lý một hoặc nhiều dự án đầu tư tại nhiều địa phương; Ban Quản lý dự án, </w:t>
      </w:r>
      <w:r w:rsidRPr="00D66888">
        <w:rPr>
          <w:rFonts w:ascii="Arial" w:hAnsi="Arial" w:cs="Arial"/>
          <w:sz w:val="20"/>
          <w:szCs w:val="20"/>
          <w:u w:val="single"/>
        </w:rPr>
        <w:t xml:space="preserve">chi nhánh có con dấu theo quy định của pháp luật, lưu giữ </w:t>
      </w:r>
      <w:r w:rsidRPr="00D66888">
        <w:rPr>
          <w:rFonts w:ascii="Arial" w:hAnsi="Arial" w:cs="Arial"/>
          <w:sz w:val="20"/>
          <w:szCs w:val="20"/>
          <w:u w:val="single"/>
        </w:rPr>
        <w:t>sổ sách chứng từ theo quy định của pháp luật về kế toán, có tài khoản gửi tại ngân hàng, đã đăng ký thuế và được cấp mã số thuế</w:t>
      </w:r>
      <w:r w:rsidRPr="00D66888">
        <w:rPr>
          <w:rFonts w:ascii="Arial" w:hAnsi="Arial" w:cs="Arial"/>
          <w:sz w:val="20"/>
          <w:szCs w:val="20"/>
        </w:rPr>
        <w:t xml:space="preserve"> thì Ban Quản lý dự án, </w:t>
      </w:r>
      <w:r w:rsidRPr="00D66888">
        <w:rPr>
          <w:rFonts w:ascii="Arial" w:hAnsi="Arial" w:cs="Arial"/>
          <w:sz w:val="20"/>
          <w:szCs w:val="20"/>
          <w:u w:val="single"/>
        </w:rPr>
        <w:t>chi nhánh phải lập hồ sơ khai thuế, hoàn thuế riêng với cơ quan thuế địa phương nơi đăng ký thuế</w:t>
      </w:r>
      <w:r w:rsidRPr="00D66888">
        <w:rPr>
          <w:rFonts w:ascii="Arial" w:hAnsi="Arial" w:cs="Arial"/>
          <w:sz w:val="20"/>
          <w:szCs w:val="20"/>
        </w:rPr>
        <w:t xml:space="preserve">. Khi dự </w:t>
      </w:r>
      <w:r w:rsidRPr="00D66888">
        <w:rPr>
          <w:rFonts w:ascii="Arial" w:hAnsi="Arial" w:cs="Arial"/>
          <w:sz w:val="20"/>
          <w:szCs w:val="20"/>
        </w:rPr>
        <w:t xml:space="preserve">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w:t>
      </w:r>
      <w:r w:rsidRPr="00D66888">
        <w:rPr>
          <w:rFonts w:ascii="Arial" w:hAnsi="Arial" w:cs="Arial"/>
          <w:sz w:val="20"/>
          <w:szCs w:val="20"/>
        </w:rPr>
        <w:t>tăng chưa được hoàn của dự án để bàn giao cho doanh nghiệp mới thành lập để doanh nghiệp mới thực hiện kê khai, nộp thuế.”</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i w:val="0"/>
          <w:iCs w:val="0"/>
          <w:sz w:val="20"/>
          <w:szCs w:val="20"/>
        </w:rPr>
        <w:t>Căn cứ các quy định và hướng dẫn nêu trên, trường hợp Công ty cổ phần Đại Lục có thành lập chi nhánh Công ty cổ phần Đại Lục tại tỉnh Đắk Nông thì phải lập hồ sơ khai thuế, hoàn thuế riêng tại cơ quan thuế quản lý trực tiếp (Chi cục Thuế Khu vực Cư Jut - K</w:t>
      </w:r>
      <w:r w:rsidRPr="00D66888">
        <w:rPr>
          <w:rFonts w:ascii="Arial" w:hAnsi="Arial" w:cs="Arial"/>
          <w:i w:val="0"/>
          <w:iCs w:val="0"/>
          <w:sz w:val="20"/>
          <w:szCs w:val="20"/>
        </w:rPr>
        <w:t>rông Nô). Khi Công ty nộp hồ sơ đề nghị hoàn thuế GTGT đối với dự án đầu tư tại Đắk Nông, nếu đáp ứng theo quy định pháp luật tại Luật Đầu tư, Luật Quản lý thuế, Luật thuế GTGT và pháp luật quy định về hoàn thuế liên quan thì thuộc đối tượng được hoàn thuế</w:t>
      </w:r>
      <w:r w:rsidRPr="00D66888">
        <w:rPr>
          <w:rFonts w:ascii="Arial" w:hAnsi="Arial" w:cs="Arial"/>
          <w:i w:val="0"/>
          <w:iCs w:val="0"/>
          <w:sz w:val="20"/>
          <w:szCs w:val="20"/>
        </w:rPr>
        <w:t xml:space="preserve"> GTGT. Cục Thuế đề nghị Công ty cổ phần bao bì Đại Lục căn cứ các quy định pháp luật nêu trên và đối chiếu tình hình thực tế tại Công ty để xác định đối tượng được hoàn thuế GTGT.</w:t>
      </w:r>
    </w:p>
    <w:p w:rsidR="00DD53CF" w:rsidRPr="00D66888" w:rsidRDefault="00D66888" w:rsidP="00D66888">
      <w:pPr>
        <w:pStyle w:val="Tiu10"/>
        <w:keepNext/>
        <w:keepLines/>
        <w:tabs>
          <w:tab w:val="left" w:pos="1312"/>
        </w:tabs>
        <w:spacing w:after="120"/>
        <w:ind w:firstLine="284"/>
        <w:rPr>
          <w:rFonts w:ascii="Arial" w:hAnsi="Arial" w:cs="Arial"/>
          <w:sz w:val="20"/>
          <w:szCs w:val="20"/>
        </w:rPr>
      </w:pPr>
      <w:bookmarkStart w:id="7" w:name="bookmark8"/>
      <w:bookmarkStart w:id="8" w:name="bookmark6"/>
      <w:bookmarkStart w:id="9" w:name="bookmark7"/>
      <w:bookmarkStart w:id="10" w:name="bookmark9"/>
      <w:bookmarkEnd w:id="7"/>
      <w:r>
        <w:rPr>
          <w:rFonts w:ascii="Arial" w:hAnsi="Arial" w:cs="Arial"/>
          <w:sz w:val="20"/>
          <w:szCs w:val="20"/>
          <w:lang w:val="en-US"/>
        </w:rPr>
        <w:t>2. V</w:t>
      </w:r>
      <w:r w:rsidR="006014BB" w:rsidRPr="00D66888">
        <w:rPr>
          <w:rFonts w:ascii="Arial" w:hAnsi="Arial" w:cs="Arial"/>
          <w:sz w:val="20"/>
          <w:szCs w:val="20"/>
        </w:rPr>
        <w:t>ề kê khai thuế đối với dự án đầu tư</w:t>
      </w:r>
      <w:bookmarkEnd w:id="8"/>
      <w:bookmarkEnd w:id="9"/>
      <w:bookmarkEnd w:id="10"/>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i w:val="0"/>
          <w:iCs w:val="0"/>
          <w:sz w:val="20"/>
          <w:szCs w:val="20"/>
        </w:rPr>
        <w:t>- Tại Điều 7, Điều 11 Nghị định số 126/</w:t>
      </w:r>
      <w:r w:rsidRPr="00D66888">
        <w:rPr>
          <w:rFonts w:ascii="Arial" w:hAnsi="Arial" w:cs="Arial"/>
          <w:i w:val="0"/>
          <w:iCs w:val="0"/>
          <w:sz w:val="20"/>
          <w:szCs w:val="20"/>
        </w:rPr>
        <w:t xml:space="preserve">2020/NĐ-CP ngày 19/10/2020 của Chính phủ quy định chi tiết một số điều của Luật Quản lý thuế quy định về hồ sơ khai thuế và địa điểm nộp hồ sơ khai thuế đối với dự án </w:t>
      </w:r>
      <w:r w:rsidRPr="00D66888">
        <w:rPr>
          <w:rFonts w:ascii="Arial" w:hAnsi="Arial" w:cs="Arial"/>
          <w:i w:val="0"/>
          <w:iCs w:val="0"/>
          <w:sz w:val="20"/>
          <w:szCs w:val="20"/>
        </w:rPr>
        <w:lastRenderedPageBreak/>
        <w:t>đầu tư khác tỉnh, thành phố nơi đóng trụ sở chính:</w:t>
      </w:r>
    </w:p>
    <w:p w:rsidR="00DD53CF"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 Điều 7. Hồ sơ khai thuế</w:t>
      </w:r>
    </w:p>
    <w:p w:rsidR="00D66888" w:rsidRPr="00D66888" w:rsidRDefault="00D66888" w:rsidP="00D66888">
      <w:pPr>
        <w:pStyle w:val="Vnbnnidung0"/>
        <w:spacing w:after="120"/>
        <w:ind w:firstLine="284"/>
        <w:rPr>
          <w:rFonts w:ascii="Arial" w:hAnsi="Arial" w:cs="Arial"/>
          <w:sz w:val="20"/>
          <w:szCs w:val="20"/>
          <w:lang w:val="en-US"/>
        </w:rPr>
      </w:pPr>
      <w:r>
        <w:rPr>
          <w:rFonts w:ascii="Arial" w:hAnsi="Arial" w:cs="Arial"/>
          <w:sz w:val="20"/>
          <w:szCs w:val="20"/>
          <w:lang w:val="en-US"/>
        </w:rPr>
        <w:t>…</w:t>
      </w:r>
    </w:p>
    <w:p w:rsidR="00DD53CF"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2. Hồ sơ kha</w:t>
      </w:r>
      <w:r w:rsidRPr="00D66888">
        <w:rPr>
          <w:rFonts w:ascii="Arial" w:hAnsi="Arial" w:cs="Arial"/>
          <w:sz w:val="20"/>
          <w:szCs w:val="20"/>
        </w:rPr>
        <w:t>i thuế tương ứng với từng loại thuế, người nộp thuế, phù hợp vơi phương pháp tính thuế, kỳ tính thuế (tháng, quý, năm, từng lần phát sinh hoặc quyết toán). Trường hợp cùng một loại thuế mà người nộp thuế có nhiều hoạt động kinh doanh thì thực hiện khai chu</w:t>
      </w:r>
      <w:r w:rsidRPr="00D66888">
        <w:rPr>
          <w:rFonts w:ascii="Arial" w:hAnsi="Arial" w:cs="Arial"/>
          <w:sz w:val="20"/>
          <w:szCs w:val="20"/>
        </w:rPr>
        <w:t>ng trên một hồ sơ khai thuế, trừ các trường hợp sau:</w:t>
      </w:r>
    </w:p>
    <w:p w:rsidR="00D66888" w:rsidRPr="00D66888" w:rsidRDefault="00D66888" w:rsidP="00D66888">
      <w:pPr>
        <w:pStyle w:val="Vnbnnidung0"/>
        <w:spacing w:after="120"/>
        <w:ind w:firstLine="284"/>
        <w:rPr>
          <w:rFonts w:ascii="Arial" w:hAnsi="Arial" w:cs="Arial"/>
          <w:sz w:val="20"/>
          <w:szCs w:val="20"/>
          <w:lang w:val="en-US"/>
        </w:rPr>
      </w:pPr>
      <w:r>
        <w:rPr>
          <w:rFonts w:ascii="Arial" w:hAnsi="Arial" w:cs="Arial"/>
          <w:sz w:val="20"/>
          <w:szCs w:val="20"/>
          <w:lang w:val="en-US"/>
        </w:rPr>
        <w:t>…</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 xml:space="preserve">d) Người nộp thuế đang hoạt động có dự án đầu tư thuộc diện được hoàn thuế giá trị gia tăng thì </w:t>
      </w:r>
      <w:r w:rsidRPr="00D66888">
        <w:rPr>
          <w:rFonts w:ascii="Arial" w:hAnsi="Arial" w:cs="Arial"/>
          <w:sz w:val="20"/>
          <w:szCs w:val="20"/>
          <w:u w:val="single"/>
        </w:rPr>
        <w:t>phải lập hồ sơ khai thuế giá trị gia tăng riêng cho từng</w:t>
      </w:r>
      <w:r w:rsidR="00D66888">
        <w:rPr>
          <w:rFonts w:ascii="Arial" w:hAnsi="Arial" w:cs="Arial"/>
          <w:sz w:val="20"/>
          <w:szCs w:val="20"/>
          <w:u w:val="single"/>
          <w:lang w:val="en-US"/>
        </w:rPr>
        <w:t xml:space="preserve"> </w:t>
      </w:r>
      <w:r w:rsidRPr="00D66888">
        <w:rPr>
          <w:rFonts w:ascii="Arial" w:hAnsi="Arial" w:cs="Arial"/>
          <w:sz w:val="20"/>
          <w:szCs w:val="20"/>
          <w:u w:val="single"/>
        </w:rPr>
        <w:t>dự án đầu tư;</w:t>
      </w:r>
      <w:r w:rsidRPr="00D66888">
        <w:rPr>
          <w:rFonts w:ascii="Arial" w:hAnsi="Arial" w:cs="Arial"/>
          <w:sz w:val="20"/>
          <w:szCs w:val="20"/>
        </w:rPr>
        <w:t xml:space="preserve"> đồng thời phải bù trừ số thuế giá tr</w:t>
      </w:r>
      <w:r w:rsidRPr="00D66888">
        <w:rPr>
          <w:rFonts w:ascii="Arial" w:hAnsi="Arial" w:cs="Arial"/>
          <w:sz w:val="20"/>
          <w:szCs w:val="20"/>
        </w:rPr>
        <w:t>ị gia tăng của hàng hóa, dịch vụ mua vào sử dụng cho từng dự án đầu tư với số thuế giá trị gia tăng phải nộp (nếu có) của hoạt động, kinh doanh đang thực hiện cùng kỳ tính thuế.</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Điều 11. Địa điểm nộp hồ sơ khai thuế</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Người nộp thuế thực hiện các quy định về</w:t>
      </w:r>
      <w:r w:rsidRPr="00D66888">
        <w:rPr>
          <w:rFonts w:ascii="Arial" w:hAnsi="Arial" w:cs="Arial"/>
          <w:sz w:val="20"/>
          <w:szCs w:val="20"/>
        </w:rPr>
        <w:t xml:space="preserve"> địa điểm nộp hồ sơ khai thuế theo quy định tại khoản 1, khoản 2 và khoản 3 Điều 45 Luật Quản lý thuế và các quy định sau đây:</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1. Địa điểm nộp hồ sơ khai thuế đối với người nộp thuế có nhiều hoạt động, kinh doanh trên nhiều địa bàn cấp tỉnh theo quy định t</w:t>
      </w:r>
      <w:r w:rsidRPr="00D66888">
        <w:rPr>
          <w:rFonts w:ascii="Arial" w:hAnsi="Arial" w:cs="Arial"/>
          <w:sz w:val="20"/>
          <w:szCs w:val="20"/>
        </w:rPr>
        <w:t xml:space="preserve">ại điểm a, điểm b khoản 4 Điều 45 Luật Quản lý thuế là </w:t>
      </w:r>
      <w:r w:rsidRPr="00D66888">
        <w:rPr>
          <w:rFonts w:ascii="Arial" w:hAnsi="Arial" w:cs="Arial"/>
          <w:sz w:val="20"/>
          <w:szCs w:val="20"/>
          <w:u w:val="single"/>
        </w:rPr>
        <w:t>cơ quan thuế nơi có hoạt động kinh doanh khác tỉnh, thành phố nơi có trụ sở chính</w:t>
      </w:r>
      <w:r w:rsidRPr="00D66888">
        <w:rPr>
          <w:rFonts w:ascii="Arial" w:hAnsi="Arial" w:cs="Arial"/>
          <w:sz w:val="20"/>
          <w:szCs w:val="20"/>
        </w:rPr>
        <w:t xml:space="preserve"> đối với các trường hợp sau đây:</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sz w:val="20"/>
          <w:szCs w:val="20"/>
        </w:rPr>
        <w:t>a) Khai thuế giá trị gia tăng của dự án đầu tư đối với trường hợp quy định tại điểm d k</w:t>
      </w:r>
      <w:r w:rsidRPr="00D66888">
        <w:rPr>
          <w:rFonts w:ascii="Arial" w:hAnsi="Arial" w:cs="Arial"/>
          <w:sz w:val="20"/>
          <w:szCs w:val="20"/>
        </w:rPr>
        <w:t xml:space="preserve">hoản 2 Điều 7 Nghị định này </w:t>
      </w:r>
      <w:r w:rsidRPr="00D66888">
        <w:rPr>
          <w:rFonts w:ascii="Arial" w:hAnsi="Arial" w:cs="Arial"/>
          <w:sz w:val="20"/>
          <w:szCs w:val="20"/>
          <w:u w:val="single"/>
        </w:rPr>
        <w:t>tại nơi có dự án đầu tư</w:t>
      </w:r>
      <w:r w:rsidRPr="00D66888">
        <w:rPr>
          <w:rFonts w:ascii="Arial" w:hAnsi="Arial" w:cs="Arial"/>
          <w:sz w:val="20"/>
          <w:szCs w:val="20"/>
        </w:rPr>
        <w:t>.”</w:t>
      </w:r>
    </w:p>
    <w:p w:rsidR="00DD53CF" w:rsidRPr="00D66888" w:rsidRDefault="006014BB" w:rsidP="00D66888">
      <w:pPr>
        <w:pStyle w:val="Vnbnnidung0"/>
        <w:spacing w:after="120"/>
        <w:ind w:firstLine="284"/>
        <w:rPr>
          <w:rFonts w:ascii="Arial" w:hAnsi="Arial" w:cs="Arial"/>
          <w:sz w:val="20"/>
          <w:szCs w:val="20"/>
        </w:rPr>
      </w:pPr>
      <w:r w:rsidRPr="00D66888">
        <w:rPr>
          <w:rFonts w:ascii="Arial" w:hAnsi="Arial" w:cs="Arial"/>
          <w:i w:val="0"/>
          <w:iCs w:val="0"/>
          <w:sz w:val="20"/>
          <w:szCs w:val="20"/>
        </w:rPr>
        <w:t>Từ quy định nêu trên, trường hợp Công ty cổ phần bao bì Đại Lục thành lập chi nhánh tại Đắk Nông thực hiện kê khai thuế GTGT tại cơ quan thuế quản lý trực tiếp (Chi cục Thuế khu vực Cư Jut - Krông Nô) t</w:t>
      </w:r>
      <w:r w:rsidRPr="00D66888">
        <w:rPr>
          <w:rFonts w:ascii="Arial" w:hAnsi="Arial" w:cs="Arial"/>
          <w:i w:val="0"/>
          <w:iCs w:val="0"/>
          <w:sz w:val="20"/>
          <w:szCs w:val="20"/>
        </w:rPr>
        <w:t>heo quy định tại điểm a khoản 1 Điều 11 Nghị định số 126/2020/NĐ-CP của Chính phủ. Công ty nộp hồ sơ khai thuế GTGT theo mẫu số 02/GTGT kèm theo Phụ lục tại Thông tư số 80/2021/TT-BTC ngày 29/9/2021 của Bộ Tài chính đồng thời phải bù trừ số thuế GTGT của h</w:t>
      </w:r>
      <w:r w:rsidRPr="00D66888">
        <w:rPr>
          <w:rFonts w:ascii="Arial" w:hAnsi="Arial" w:cs="Arial"/>
          <w:i w:val="0"/>
          <w:iCs w:val="0"/>
          <w:sz w:val="20"/>
          <w:szCs w:val="20"/>
        </w:rPr>
        <w:t>àng hóa, dịch vụ mua vào sử dụng cho từng dự án đầu tư với số thuế giá trị gia tăng phải nộp (nếu có) của hoạt động, kinh doanh đang thực hiện cùng kỳ tính thuế.</w:t>
      </w:r>
    </w:p>
    <w:p w:rsidR="00DD53CF" w:rsidRDefault="006014BB" w:rsidP="00D66888">
      <w:pPr>
        <w:pStyle w:val="Vnbnnidung0"/>
        <w:spacing w:after="120"/>
        <w:ind w:firstLine="284"/>
        <w:rPr>
          <w:rFonts w:ascii="Arial" w:hAnsi="Arial" w:cs="Arial"/>
          <w:i w:val="0"/>
          <w:iCs w:val="0"/>
          <w:sz w:val="20"/>
          <w:szCs w:val="20"/>
        </w:rPr>
      </w:pPr>
      <w:r w:rsidRPr="00D66888">
        <w:rPr>
          <w:rFonts w:ascii="Arial" w:hAnsi="Arial" w:cs="Arial"/>
          <w:i w:val="0"/>
          <w:iCs w:val="0"/>
          <w:sz w:val="20"/>
          <w:szCs w:val="20"/>
        </w:rPr>
        <w:t>Cục Thuế tỉnh Đắk Nông trả lời để Công ty cổ phần bao bì Đại Lục được biết./.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D66888" w:rsidRPr="001443C0" w:rsidTr="006C4500">
        <w:trPr>
          <w:trHeight w:val="2005"/>
        </w:trPr>
        <w:tc>
          <w:tcPr>
            <w:tcW w:w="5843" w:type="dxa"/>
            <w:shd w:val="clear" w:color="auto" w:fill="auto"/>
            <w:hideMark/>
          </w:tcPr>
          <w:p w:rsidR="00D66888" w:rsidRPr="00BA1E8C" w:rsidRDefault="00D66888" w:rsidP="006C4500">
            <w:pPr>
              <w:pStyle w:val="Vnbnnidung0"/>
              <w:ind w:firstLine="0"/>
              <w:rPr>
                <w:rFonts w:ascii="Arial" w:hAnsi="Arial" w:cs="Arial"/>
                <w:b/>
                <w:sz w:val="20"/>
                <w:szCs w:val="20"/>
              </w:rPr>
            </w:pPr>
            <w:r>
              <w:rPr>
                <w:rFonts w:ascii="Arial" w:hAnsi="Arial" w:cs="Arial"/>
                <w:b/>
                <w:i w:val="0"/>
                <w:sz w:val="20"/>
                <w:szCs w:val="20"/>
              </w:rPr>
              <w:t>Nơi nhận</w:t>
            </w:r>
          </w:p>
          <w:p w:rsidR="00091F91" w:rsidRDefault="00D66888" w:rsidP="00091F91">
            <w:pPr>
              <w:pStyle w:val="Vnbnnidung0"/>
              <w:tabs>
                <w:tab w:val="left" w:pos="5718"/>
              </w:tabs>
              <w:spacing w:after="0"/>
              <w:ind w:firstLine="0"/>
              <w:rPr>
                <w:rFonts w:ascii="Arial" w:hAnsi="Arial" w:cs="Arial"/>
                <w:i w:val="0"/>
                <w:sz w:val="20"/>
                <w:szCs w:val="20"/>
              </w:rPr>
            </w:pPr>
            <w:r>
              <w:rPr>
                <w:rFonts w:ascii="Arial" w:hAnsi="Arial" w:cs="Arial"/>
                <w:i w:val="0"/>
                <w:sz w:val="20"/>
                <w:szCs w:val="20"/>
                <w:lang w:val="en-US"/>
              </w:rPr>
              <w:t xml:space="preserve">- </w:t>
            </w:r>
            <w:r w:rsidR="00091F91" w:rsidRPr="00D66888">
              <w:rPr>
                <w:rFonts w:ascii="Arial" w:hAnsi="Arial" w:cs="Arial"/>
                <w:i w:val="0"/>
                <w:sz w:val="20"/>
                <w:szCs w:val="20"/>
              </w:rPr>
              <w:t>Như trên;</w:t>
            </w:r>
            <w:bookmarkStart w:id="11" w:name="bookmark11"/>
            <w:bookmarkEnd w:id="11"/>
          </w:p>
          <w:p w:rsidR="00091F91" w:rsidRPr="00091F91" w:rsidRDefault="00091F91" w:rsidP="00091F91">
            <w:pPr>
              <w:pStyle w:val="Vnbnnidung0"/>
              <w:tabs>
                <w:tab w:val="left" w:pos="5718"/>
              </w:tabs>
              <w:spacing w:after="0"/>
              <w:ind w:firstLine="0"/>
              <w:rPr>
                <w:rFonts w:ascii="Arial" w:hAnsi="Arial" w:cs="Arial"/>
                <w:i w:val="0"/>
                <w:sz w:val="20"/>
                <w:szCs w:val="20"/>
              </w:rPr>
            </w:pPr>
            <w:r>
              <w:rPr>
                <w:rFonts w:ascii="Arial" w:hAnsi="Arial" w:cs="Arial"/>
                <w:i w:val="0"/>
                <w:sz w:val="20"/>
                <w:szCs w:val="20"/>
                <w:lang w:val="en-US"/>
              </w:rPr>
              <w:t xml:space="preserve">- </w:t>
            </w:r>
            <w:r w:rsidRPr="00091F91">
              <w:rPr>
                <w:rFonts w:ascii="Arial" w:hAnsi="Arial" w:cs="Arial"/>
                <w:i w:val="0"/>
                <w:sz w:val="20"/>
                <w:szCs w:val="20"/>
              </w:rPr>
              <w:t>Lãnh đạo Cục Thuế;</w:t>
            </w:r>
          </w:p>
          <w:p w:rsidR="00091F91" w:rsidRPr="00D66888" w:rsidRDefault="00091F91" w:rsidP="00091F91">
            <w:pPr>
              <w:pStyle w:val="Vnbnnidung20"/>
              <w:tabs>
                <w:tab w:val="left" w:pos="518"/>
              </w:tabs>
              <w:ind w:firstLine="0"/>
              <w:rPr>
                <w:rFonts w:ascii="Arial" w:hAnsi="Arial" w:cs="Arial"/>
                <w:sz w:val="20"/>
                <w:szCs w:val="20"/>
              </w:rPr>
            </w:pPr>
            <w:bookmarkStart w:id="12" w:name="bookmark12"/>
            <w:bookmarkEnd w:id="12"/>
            <w:r>
              <w:rPr>
                <w:rFonts w:ascii="Arial" w:hAnsi="Arial" w:cs="Arial"/>
                <w:sz w:val="20"/>
                <w:szCs w:val="20"/>
                <w:lang w:val="en-US"/>
              </w:rPr>
              <w:t xml:space="preserve">- </w:t>
            </w:r>
            <w:r w:rsidRPr="00D66888">
              <w:rPr>
                <w:rFonts w:ascii="Arial" w:hAnsi="Arial" w:cs="Arial"/>
                <w:sz w:val="20"/>
                <w:szCs w:val="20"/>
              </w:rPr>
              <w:t>Phòng NVDTPC, Phòng KK;</w:t>
            </w:r>
          </w:p>
          <w:p w:rsidR="00091F91" w:rsidRPr="00D66888" w:rsidRDefault="00091F91" w:rsidP="00091F91">
            <w:pPr>
              <w:pStyle w:val="Vnbnnidung20"/>
              <w:tabs>
                <w:tab w:val="left" w:pos="518"/>
              </w:tabs>
              <w:ind w:firstLine="0"/>
              <w:rPr>
                <w:rFonts w:ascii="Arial" w:hAnsi="Arial" w:cs="Arial"/>
                <w:sz w:val="20"/>
                <w:szCs w:val="20"/>
              </w:rPr>
            </w:pPr>
            <w:bookmarkStart w:id="13" w:name="bookmark13"/>
            <w:bookmarkEnd w:id="13"/>
            <w:r>
              <w:rPr>
                <w:rFonts w:ascii="Arial" w:hAnsi="Arial" w:cs="Arial"/>
                <w:sz w:val="20"/>
                <w:szCs w:val="20"/>
                <w:lang w:val="en-US"/>
              </w:rPr>
              <w:t xml:space="preserve">- </w:t>
            </w:r>
            <w:r w:rsidRPr="00D66888">
              <w:rPr>
                <w:rFonts w:ascii="Arial" w:hAnsi="Arial" w:cs="Arial"/>
                <w:sz w:val="20"/>
                <w:szCs w:val="20"/>
              </w:rPr>
              <w:t>CCT KV Cư Jut - Krông Nô;</w:t>
            </w:r>
          </w:p>
          <w:p w:rsidR="00091F91" w:rsidRPr="00D66888" w:rsidRDefault="00091F91" w:rsidP="00091F91">
            <w:pPr>
              <w:pStyle w:val="Vnbnnidung20"/>
              <w:tabs>
                <w:tab w:val="left" w:pos="518"/>
              </w:tabs>
              <w:ind w:firstLine="0"/>
              <w:rPr>
                <w:rFonts w:ascii="Arial" w:hAnsi="Arial" w:cs="Arial"/>
                <w:sz w:val="20"/>
                <w:szCs w:val="20"/>
              </w:rPr>
            </w:pPr>
            <w:bookmarkStart w:id="14" w:name="bookmark14"/>
            <w:bookmarkEnd w:id="14"/>
            <w:r>
              <w:rPr>
                <w:rFonts w:ascii="Arial" w:hAnsi="Arial" w:cs="Arial"/>
                <w:sz w:val="20"/>
                <w:szCs w:val="20"/>
                <w:lang w:val="en-US"/>
              </w:rPr>
              <w:t xml:space="preserve">- </w:t>
            </w:r>
            <w:r w:rsidRPr="00D66888">
              <w:rPr>
                <w:rFonts w:ascii="Arial" w:hAnsi="Arial" w:cs="Arial"/>
                <w:sz w:val="20"/>
                <w:szCs w:val="20"/>
              </w:rPr>
              <w:t>Trang TTĐT Ngành Thuế;</w:t>
            </w:r>
          </w:p>
          <w:p w:rsidR="00D66888" w:rsidRPr="00816A5B" w:rsidRDefault="00091F91" w:rsidP="00091F91">
            <w:pPr>
              <w:pStyle w:val="Vnbnnidung20"/>
              <w:tabs>
                <w:tab w:val="left" w:pos="125"/>
              </w:tabs>
              <w:ind w:firstLine="0"/>
              <w:rPr>
                <w:rFonts w:ascii="Arial" w:hAnsi="Arial" w:cs="Arial"/>
                <w:sz w:val="20"/>
                <w:szCs w:val="20"/>
              </w:rPr>
            </w:pPr>
            <w:bookmarkStart w:id="15" w:name="bookmark15"/>
            <w:bookmarkEnd w:id="15"/>
            <w:r>
              <w:rPr>
                <w:rFonts w:ascii="Arial" w:hAnsi="Arial" w:cs="Arial"/>
                <w:sz w:val="20"/>
                <w:szCs w:val="20"/>
                <w:lang w:val="en-US"/>
              </w:rPr>
              <w:t xml:space="preserve">- </w:t>
            </w:r>
            <w:r w:rsidRPr="00D66888">
              <w:rPr>
                <w:rFonts w:ascii="Arial" w:hAnsi="Arial" w:cs="Arial"/>
                <w:sz w:val="20"/>
                <w:szCs w:val="20"/>
              </w:rPr>
              <w:t>Lưu: VT, TTHT (02b).</w:t>
            </w:r>
          </w:p>
        </w:tc>
        <w:tc>
          <w:tcPr>
            <w:tcW w:w="4140" w:type="dxa"/>
            <w:shd w:val="clear" w:color="auto" w:fill="auto"/>
          </w:tcPr>
          <w:p w:rsidR="00D66888" w:rsidRPr="0054008A" w:rsidRDefault="00D66888" w:rsidP="006C4500">
            <w:pPr>
              <w:pStyle w:val="Vnbnnidung0"/>
              <w:tabs>
                <w:tab w:val="left" w:pos="4030"/>
                <w:tab w:val="left" w:leader="dot" w:pos="4198"/>
              </w:tabs>
              <w:ind w:firstLine="0"/>
              <w:jc w:val="center"/>
              <w:rPr>
                <w:rFonts w:ascii="Arial" w:hAnsi="Arial" w:cs="Arial"/>
                <w:b/>
                <w:i w:val="0"/>
                <w:sz w:val="20"/>
                <w:szCs w:val="20"/>
              </w:rPr>
            </w:pPr>
            <w:r w:rsidRPr="0054008A">
              <w:rPr>
                <w:rFonts w:ascii="Arial" w:hAnsi="Arial" w:cs="Arial"/>
                <w:b/>
                <w:i w:val="0"/>
                <w:sz w:val="20"/>
                <w:szCs w:val="20"/>
                <w:lang w:val="en-US"/>
              </w:rPr>
              <w:t xml:space="preserve">KT. </w:t>
            </w:r>
            <w:r w:rsidRPr="0054008A">
              <w:rPr>
                <w:rFonts w:ascii="Arial" w:hAnsi="Arial" w:cs="Arial"/>
                <w:b/>
                <w:i w:val="0"/>
                <w:sz w:val="20"/>
                <w:szCs w:val="20"/>
              </w:rPr>
              <w:t>CỤC TRƯỞNG</w:t>
            </w:r>
          </w:p>
          <w:p w:rsidR="00D66888" w:rsidRPr="0054008A" w:rsidRDefault="00D66888" w:rsidP="006C4500">
            <w:pPr>
              <w:pStyle w:val="Vnbnnidung0"/>
              <w:tabs>
                <w:tab w:val="left" w:pos="4030"/>
                <w:tab w:val="left" w:leader="dot" w:pos="4198"/>
              </w:tabs>
              <w:ind w:firstLine="0"/>
              <w:jc w:val="center"/>
              <w:rPr>
                <w:rFonts w:ascii="Arial" w:hAnsi="Arial" w:cs="Arial"/>
                <w:b/>
                <w:i w:val="0"/>
                <w:sz w:val="20"/>
                <w:szCs w:val="20"/>
                <w:lang w:val="en-US"/>
              </w:rPr>
            </w:pPr>
            <w:r w:rsidRPr="0054008A">
              <w:rPr>
                <w:rFonts w:ascii="Arial" w:hAnsi="Arial" w:cs="Arial"/>
                <w:b/>
                <w:i w:val="0"/>
                <w:sz w:val="20"/>
                <w:szCs w:val="20"/>
                <w:lang w:val="en-US"/>
              </w:rPr>
              <w:t>PHÓ CỤC TRƯỞNG</w:t>
            </w:r>
          </w:p>
          <w:p w:rsidR="00D66888" w:rsidRPr="0054008A" w:rsidRDefault="00D66888" w:rsidP="006C4500">
            <w:pPr>
              <w:pStyle w:val="Vnbnnidung0"/>
              <w:tabs>
                <w:tab w:val="left" w:pos="4030"/>
                <w:tab w:val="left" w:leader="dot" w:pos="4198"/>
              </w:tabs>
              <w:ind w:firstLine="0"/>
              <w:jc w:val="center"/>
              <w:rPr>
                <w:rFonts w:ascii="Arial" w:hAnsi="Arial" w:cs="Arial"/>
                <w:b/>
                <w:i w:val="0"/>
                <w:sz w:val="20"/>
                <w:szCs w:val="20"/>
                <w:lang w:val="en-US"/>
              </w:rPr>
            </w:pPr>
          </w:p>
          <w:p w:rsidR="00D66888" w:rsidRPr="0054008A" w:rsidRDefault="00D66888" w:rsidP="006C4500">
            <w:pPr>
              <w:pStyle w:val="Vnbnnidung0"/>
              <w:tabs>
                <w:tab w:val="left" w:pos="4030"/>
                <w:tab w:val="left" w:leader="dot" w:pos="4198"/>
              </w:tabs>
              <w:ind w:firstLine="0"/>
              <w:jc w:val="center"/>
              <w:rPr>
                <w:rFonts w:ascii="Arial" w:hAnsi="Arial" w:cs="Arial"/>
                <w:b/>
                <w:i w:val="0"/>
                <w:sz w:val="20"/>
                <w:szCs w:val="20"/>
                <w:lang w:val="en-US"/>
              </w:rPr>
            </w:pPr>
          </w:p>
          <w:p w:rsidR="00D66888" w:rsidRPr="0054008A" w:rsidRDefault="00D66888" w:rsidP="006C4500">
            <w:pPr>
              <w:pStyle w:val="Vnbnnidung0"/>
              <w:tabs>
                <w:tab w:val="left" w:pos="4030"/>
                <w:tab w:val="left" w:leader="dot" w:pos="4198"/>
              </w:tabs>
              <w:ind w:firstLine="0"/>
              <w:jc w:val="center"/>
              <w:rPr>
                <w:rFonts w:ascii="Arial" w:hAnsi="Arial" w:cs="Arial"/>
                <w:b/>
                <w:i w:val="0"/>
                <w:sz w:val="20"/>
                <w:szCs w:val="20"/>
                <w:lang w:val="en-US"/>
              </w:rPr>
            </w:pPr>
          </w:p>
          <w:p w:rsidR="00D66888" w:rsidRPr="005410FA" w:rsidRDefault="004E7B30" w:rsidP="006C4500">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Nguyễn Trung Hiếu</w:t>
            </w:r>
          </w:p>
        </w:tc>
      </w:tr>
    </w:tbl>
    <w:p w:rsidR="00DD53CF" w:rsidRPr="00D66888" w:rsidRDefault="00DD53CF" w:rsidP="00DF0CD2">
      <w:pPr>
        <w:pStyle w:val="Vnbnnidung20"/>
        <w:tabs>
          <w:tab w:val="left" w:pos="518"/>
        </w:tabs>
        <w:spacing w:after="80"/>
        <w:ind w:firstLine="0"/>
        <w:rPr>
          <w:rFonts w:ascii="Arial" w:hAnsi="Arial" w:cs="Arial"/>
          <w:sz w:val="20"/>
          <w:szCs w:val="20"/>
        </w:rPr>
      </w:pPr>
      <w:bookmarkStart w:id="16" w:name="bookmark10"/>
      <w:bookmarkEnd w:id="16"/>
      <w:bookmarkEnd w:id="0"/>
    </w:p>
    <w:sectPr w:rsidR="00DD53CF" w:rsidRPr="00D66888">
      <w:headerReference w:type="default" r:id="rId7"/>
      <w:headerReference w:type="first" r:id="rId8"/>
      <w:pgSz w:w="11900" w:h="16840"/>
      <w:pgMar w:top="1133" w:right="808" w:bottom="1355" w:left="141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BB" w:rsidRDefault="006014BB">
      <w:r>
        <w:separator/>
      </w:r>
    </w:p>
  </w:endnote>
  <w:endnote w:type="continuationSeparator" w:id="0">
    <w:p w:rsidR="006014BB" w:rsidRDefault="006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BB" w:rsidRDefault="006014BB"/>
  </w:footnote>
  <w:footnote w:type="continuationSeparator" w:id="0">
    <w:p w:rsidR="006014BB" w:rsidRDefault="006014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CF" w:rsidRDefault="006014B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3931285</wp:posOffset>
              </wp:positionH>
              <wp:positionV relativeFrom="page">
                <wp:posOffset>496570</wp:posOffset>
              </wp:positionV>
              <wp:extent cx="5461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DD53CF" w:rsidRDefault="006014BB">
                          <w:pPr>
                            <w:pStyle w:val="utranghocchntrang20"/>
                            <w:rPr>
                              <w:sz w:val="22"/>
                              <w:szCs w:val="22"/>
                            </w:rPr>
                          </w:pPr>
                          <w:r>
                            <w:fldChar w:fldCharType="begin"/>
                          </w:r>
                          <w:r>
                            <w:instrText xml:space="preserve"> PAGE \* MERGEFORMAT </w:instrText>
                          </w:r>
                          <w:r>
                            <w:fldChar w:fldCharType="separate"/>
                          </w:r>
                          <w:r w:rsidR="00DF0CD2" w:rsidRPr="00DF0CD2">
                            <w:rPr>
                              <w:rFonts w:ascii="Calibri" w:eastAsia="Calibri" w:hAnsi="Calibri" w:cs="Calibri"/>
                              <w:i/>
                              <w:iCs/>
                              <w:noProof/>
                              <w:sz w:val="22"/>
                              <w:szCs w:val="22"/>
                            </w:rPr>
                            <w:t>2</w:t>
                          </w:r>
                          <w:r>
                            <w:rPr>
                              <w:rFonts w:ascii="Calibri" w:eastAsia="Calibri" w:hAnsi="Calibri" w:cs="Calibri"/>
                              <w:i/>
                              <w:i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9.55pt;margin-top:39.1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" filled="f" stroked="f">
              <v:textbox style="mso-fit-shape-to-text:t" inset="0,0,0,0">
                <w:txbxContent>
                  <w:p w:rsidR="00DD53CF" w:rsidRDefault="006014BB">
                    <w:pPr>
                      <w:pStyle w:val="utranghocchntrang20"/>
                      <w:rPr>
                        <w:sz w:val="22"/>
                        <w:szCs w:val="22"/>
                      </w:rPr>
                    </w:pPr>
                    <w:r>
                      <w:fldChar w:fldCharType="begin"/>
                    </w:r>
                    <w:r>
                      <w:instrText xml:space="preserve"> PAGE \* MERGEFORMAT </w:instrText>
                    </w:r>
                    <w:r>
                      <w:fldChar w:fldCharType="separate"/>
                    </w:r>
                    <w:r w:rsidR="00DF0CD2" w:rsidRPr="00DF0CD2">
                      <w:rPr>
                        <w:rFonts w:ascii="Calibri" w:eastAsia="Calibri" w:hAnsi="Calibri" w:cs="Calibri"/>
                        <w:i/>
                        <w:iCs/>
                        <w:noProof/>
                        <w:sz w:val="22"/>
                        <w:szCs w:val="22"/>
                      </w:rPr>
                      <w:t>2</w:t>
                    </w:r>
                    <w:r>
                      <w:rPr>
                        <w:rFonts w:ascii="Calibri" w:eastAsia="Calibri" w:hAnsi="Calibri" w:cs="Calibri"/>
                        <w:i/>
                        <w:iCs/>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CF" w:rsidRDefault="00DD53C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12D18"/>
    <w:multiLevelType w:val="multilevel"/>
    <w:tmpl w:val="7C52D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7641BF"/>
    <w:multiLevelType w:val="multilevel"/>
    <w:tmpl w:val="F6A6F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CF"/>
    <w:rsid w:val="00091F91"/>
    <w:rsid w:val="004E7B30"/>
    <w:rsid w:val="006014BB"/>
    <w:rsid w:val="00D66888"/>
    <w:rsid w:val="00DD53CF"/>
    <w:rsid w:val="00DF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2FC3"/>
  <w15:docId w15:val="{F71C1B7E-60FB-4CE0-B979-0C58FA28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spacing w:after="80"/>
      <w:ind w:firstLine="96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260"/>
    </w:pPr>
    <w:rPr>
      <w:rFonts w:ascii="Times New Roman" w:eastAsia="Times New Roman" w:hAnsi="Times New Roman" w:cs="Times New Roman"/>
      <w:sz w:val="22"/>
      <w:szCs w:val="22"/>
    </w:rPr>
  </w:style>
  <w:style w:type="table" w:styleId="TableGrid">
    <w:name w:val="Table Grid"/>
    <w:basedOn w:val="TableNormal"/>
    <w:uiPriority w:val="39"/>
    <w:rsid w:val="00D668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Le Thi Thanh (TT&amp;HT-DNO)</dc:creator>
  <cp:keywords/>
  <cp:lastModifiedBy>Admin</cp:lastModifiedBy>
  <cp:revision>5</cp:revision>
  <dcterms:created xsi:type="dcterms:W3CDTF">2025-01-06T10:05:00Z</dcterms:created>
  <dcterms:modified xsi:type="dcterms:W3CDTF">2025-01-06T10:10:00Z</dcterms:modified>
</cp:coreProperties>
</file>